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4E" w:rsidRPr="009B29EA" w:rsidRDefault="008B1B4E" w:rsidP="009B29EA">
      <w:pPr>
        <w:pStyle w:val="1"/>
        <w:spacing w:before="0" w:after="0" w:line="360" w:lineRule="auto"/>
        <w:jc w:val="center"/>
        <w:rPr>
          <w:rFonts w:cs="Times New Roman"/>
          <w:sz w:val="28"/>
          <w:szCs w:val="28"/>
        </w:rPr>
      </w:pPr>
      <w:bookmarkStart w:id="0" w:name="_Toc454875234"/>
      <w:r w:rsidRPr="009B29EA">
        <w:rPr>
          <w:rFonts w:cs="宋体" w:hint="eastAsia"/>
          <w:sz w:val="28"/>
          <w:szCs w:val="28"/>
        </w:rPr>
        <w:t>第四届“运输与时空经济论坛”论坛</w:t>
      </w:r>
      <w:bookmarkEnd w:id="0"/>
    </w:p>
    <w:p w:rsidR="008B1B4E" w:rsidRPr="009B29EA" w:rsidRDefault="008B1B4E" w:rsidP="009B29EA">
      <w:pPr>
        <w:pStyle w:val="1"/>
        <w:spacing w:before="0" w:after="0" w:line="360" w:lineRule="auto"/>
        <w:jc w:val="center"/>
        <w:rPr>
          <w:rFonts w:cs="Times New Roman"/>
          <w:sz w:val="28"/>
          <w:szCs w:val="28"/>
        </w:rPr>
      </w:pPr>
      <w:bookmarkStart w:id="1" w:name="_Toc454875235"/>
      <w:r w:rsidRPr="009B29EA">
        <w:rPr>
          <w:rFonts w:cs="宋体" w:hint="eastAsia"/>
          <w:sz w:val="28"/>
          <w:szCs w:val="28"/>
        </w:rPr>
        <w:t>征文通知</w:t>
      </w:r>
      <w:bookmarkEnd w:id="1"/>
    </w:p>
    <w:p w:rsidR="008B1B4E" w:rsidRPr="009B29EA" w:rsidRDefault="008B1B4E" w:rsidP="009B29EA">
      <w:pPr>
        <w:rPr>
          <w:rFonts w:cs="Times New Roman"/>
        </w:rPr>
      </w:pPr>
    </w:p>
    <w:p w:rsidR="008B1B4E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交通大学经济学科经过百年发展，已经形成涵盖产业经济学、区域经济学、金融学、劳动经济学、国际贸易、国民经济学、技术经济学、数量经济学、统计学、公共管理学等多学科的应用经济学及相关一级学科体系。以运输经济学和综合交通研究为特色的产业经济学，是北京交通大学经济管理学院最具有学术影响力和社会声望的领域。近年来，我院相继牵头成立北京市哲学社会科学北京交通发展研究基地、北京产业安全与发展研究基地等，这些机构和我院教师长期坚持运输经济、综合交通以及相关运输方式、城市交通等领域的理论、体制与政策研究，承担了大量国家级项目和各相关主管部委机构、省市地方政府、大型运输企业委托的研究项目，取得丰硕的理论与政策咨询成果，除发表论文、出版专著、成果获奖外，很多成果已被政府部门采纳或被企业应用。</w:t>
      </w:r>
    </w:p>
    <w:p w:rsidR="008B1B4E" w:rsidRPr="0063094E" w:rsidRDefault="008B1B4E" w:rsidP="00B26E68">
      <w:pPr>
        <w:ind w:firstLineChars="200" w:firstLine="420"/>
        <w:rPr>
          <w:rFonts w:cs="Times New Roman"/>
        </w:rPr>
      </w:pPr>
      <w:r w:rsidRPr="0063094E">
        <w:rPr>
          <w:rFonts w:cs="宋体" w:hint="eastAsia"/>
        </w:rPr>
        <w:t>重庆交通大学的经济学科从</w:t>
      </w:r>
      <w:r w:rsidRPr="0063094E">
        <w:t>1981</w:t>
      </w:r>
      <w:r w:rsidRPr="0063094E">
        <w:rPr>
          <w:rFonts w:cs="宋体" w:hint="eastAsia"/>
        </w:rPr>
        <w:t>年开始参与国家交通发展大讨论，孕育了管理科学与工程、工商管理、交通运输经济等博硕士点，以及西部交通与经济社会发展研究中心、口岸物流与航运发展研究中心、重庆市产业经济研究院</w:t>
      </w:r>
      <w:r w:rsidRPr="0063094E">
        <w:t>3</w:t>
      </w:r>
      <w:r w:rsidRPr="0063094E">
        <w:rPr>
          <w:rFonts w:cs="宋体" w:hint="eastAsia"/>
        </w:rPr>
        <w:t>个省部级人文重点研究基地，在综合交通、运输通道、航运经济、城市交通拥堵等领域展开了卓有成效的研究，并成为西南地区交通发展智库。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为了更有效地推动综合交通与运输经济学研究，加强综合交通建设的国际学术合作交流并跻身世界领先研究领域，兹定于</w:t>
      </w:r>
      <w:r w:rsidRPr="009B29EA">
        <w:t>2016</w:t>
      </w:r>
      <w:r w:rsidRPr="009B29EA">
        <w:rPr>
          <w:rFonts w:cs="宋体" w:hint="eastAsia"/>
        </w:rPr>
        <w:t>年</w:t>
      </w:r>
      <w:r w:rsidRPr="009B29EA">
        <w:t>11</w:t>
      </w:r>
      <w:r w:rsidRPr="009B29EA">
        <w:rPr>
          <w:rFonts w:cs="宋体" w:hint="eastAsia"/>
        </w:rPr>
        <w:t>月</w:t>
      </w:r>
      <w:r w:rsidRPr="009B29EA">
        <w:t>19</w:t>
      </w:r>
      <w:r w:rsidRPr="009B29EA">
        <w:rPr>
          <w:rFonts w:cs="宋体" w:hint="eastAsia"/>
        </w:rPr>
        <w:t>日在重庆交通大学召开第四届运输与时空经济论坛，本届论坛的主题为</w:t>
      </w:r>
      <w:r w:rsidRPr="009B29EA">
        <w:rPr>
          <w:rFonts w:cs="宋体" w:hint="eastAsia"/>
          <w:b/>
          <w:bCs/>
        </w:rPr>
        <w:t>“运输业的供给侧改革”。</w:t>
      </w:r>
      <w:r w:rsidRPr="009B29EA">
        <w:rPr>
          <w:rFonts w:cs="宋体" w:hint="eastAsia"/>
        </w:rPr>
        <w:t>本届论坛将邀请专业领域国内外知名专家做主题演讲。热忱欢迎海内外广大同仁踊跃投稿、参会，共同交流学术成果。</w:t>
      </w:r>
    </w:p>
    <w:p w:rsidR="008B1B4E" w:rsidRPr="009B29EA" w:rsidRDefault="008B1B4E" w:rsidP="009B29EA">
      <w:pPr>
        <w:rPr>
          <w:rFonts w:cs="Times New Roman"/>
        </w:rPr>
      </w:pPr>
    </w:p>
    <w:p w:rsidR="008B1B4E" w:rsidRPr="009B29EA" w:rsidRDefault="008B1B4E" w:rsidP="009B29EA">
      <w:pPr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 xml:space="preserve">　　一、论坛名称</w:t>
      </w:r>
    </w:p>
    <w:p w:rsidR="008B1B4E" w:rsidRPr="009B29EA" w:rsidRDefault="008B1B4E" w:rsidP="009B29EA">
      <w:pPr>
        <w:ind w:firstLine="405"/>
        <w:rPr>
          <w:rFonts w:cs="Times New Roman"/>
        </w:rPr>
      </w:pPr>
      <w:r w:rsidRPr="009B29EA">
        <w:rPr>
          <w:rFonts w:cs="宋体" w:hint="eastAsia"/>
        </w:rPr>
        <w:t>第四届运输与时空经济论坛</w:t>
      </w:r>
    </w:p>
    <w:p w:rsidR="008B1B4E" w:rsidRPr="009B29EA" w:rsidRDefault="008B1B4E" w:rsidP="009B29EA">
      <w:pPr>
        <w:ind w:firstLine="420"/>
        <w:rPr>
          <w:rFonts w:cs="Times New Roman"/>
        </w:rPr>
      </w:pPr>
    </w:p>
    <w:p w:rsidR="008B1B4E" w:rsidRPr="009B29EA" w:rsidRDefault="008B1B4E" w:rsidP="009B29EA">
      <w:pPr>
        <w:ind w:firstLine="420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二、论坛主题</w:t>
      </w:r>
    </w:p>
    <w:p w:rsidR="008B1B4E" w:rsidRPr="009B29EA" w:rsidRDefault="008B1B4E" w:rsidP="009B29EA">
      <w:pPr>
        <w:ind w:firstLine="420"/>
        <w:rPr>
          <w:rFonts w:cs="Times New Roman"/>
        </w:rPr>
      </w:pPr>
      <w:r w:rsidRPr="009B29EA">
        <w:rPr>
          <w:rFonts w:cs="宋体" w:hint="eastAsia"/>
        </w:rPr>
        <w:t>运输业的供给侧改革</w:t>
      </w:r>
    </w:p>
    <w:p w:rsidR="008B1B4E" w:rsidRPr="009B29EA" w:rsidRDefault="008B1B4E" w:rsidP="009B29EA">
      <w:pPr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 xml:space="preserve">　　</w:t>
      </w:r>
    </w:p>
    <w:p w:rsidR="008B1B4E" w:rsidRPr="009B29EA" w:rsidRDefault="008B1B4E" w:rsidP="009B29EA">
      <w:pPr>
        <w:rPr>
          <w:rFonts w:cs="Times New Roman"/>
          <w:b/>
          <w:bCs/>
        </w:rPr>
      </w:pPr>
      <w:r w:rsidRPr="009B29EA">
        <w:rPr>
          <w:b/>
          <w:bCs/>
        </w:rPr>
        <w:t xml:space="preserve">    </w:t>
      </w:r>
      <w:r w:rsidRPr="009B29EA">
        <w:rPr>
          <w:rFonts w:cs="宋体" w:hint="eastAsia"/>
          <w:b/>
          <w:bCs/>
        </w:rPr>
        <w:t>三、主办单位</w:t>
      </w:r>
    </w:p>
    <w:p w:rsidR="008B1B4E" w:rsidRPr="009B29EA" w:rsidRDefault="008B1B4E" w:rsidP="009B29EA">
      <w:pPr>
        <w:ind w:firstLine="405"/>
        <w:rPr>
          <w:rFonts w:cs="Times New Roman"/>
        </w:rPr>
      </w:pPr>
      <w:r w:rsidRPr="009B29EA">
        <w:rPr>
          <w:rFonts w:cs="宋体" w:hint="eastAsia"/>
        </w:rPr>
        <w:t>北京交通大学经济管理学院</w:t>
      </w:r>
    </w:p>
    <w:p w:rsidR="008B1B4E" w:rsidRDefault="008B1B4E" w:rsidP="009B29EA">
      <w:pPr>
        <w:ind w:firstLine="405"/>
        <w:rPr>
          <w:rFonts w:cs="Times New Roman"/>
        </w:rPr>
      </w:pPr>
      <w:r w:rsidRPr="009B29EA">
        <w:rPr>
          <w:rFonts w:cs="宋体" w:hint="eastAsia"/>
        </w:rPr>
        <w:t>重庆交通大学国际学院</w:t>
      </w:r>
    </w:p>
    <w:p w:rsidR="008B1B4E" w:rsidRPr="009B29EA" w:rsidRDefault="008B1B4E" w:rsidP="009B29EA">
      <w:pPr>
        <w:ind w:firstLine="405"/>
        <w:rPr>
          <w:rFonts w:cs="Times New Roman"/>
        </w:rPr>
      </w:pPr>
      <w:r w:rsidRPr="009B29EA">
        <w:rPr>
          <w:rFonts w:cs="宋体" w:hint="eastAsia"/>
        </w:rPr>
        <w:t>重庆交通大学经济管理学院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重庆交通大学交通运输学院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中国铁道学会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中国技术经济学会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</w:p>
    <w:p w:rsidR="008B1B4E" w:rsidRPr="009B29EA" w:rsidRDefault="008B1B4E" w:rsidP="00B26E68">
      <w:pPr>
        <w:ind w:firstLineChars="200" w:firstLine="422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四、承办单位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中国铁道学会经济委员会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中国技术经济学会运输技术经济专业委员会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北京交通发展研究基地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北京产业安全与发展研究基地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西部交通与经济社会发展研究中心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lastRenderedPageBreak/>
        <w:t>口岸物流与航运发展研究中心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新丝绸之路国际联合研究中心</w:t>
      </w:r>
    </w:p>
    <w:p w:rsidR="008B1B4E" w:rsidRPr="009B29EA" w:rsidRDefault="008B1B4E" w:rsidP="00B26E68">
      <w:pPr>
        <w:ind w:firstLineChars="200" w:firstLine="422"/>
        <w:rPr>
          <w:rFonts w:cs="Times New Roman"/>
          <w:b/>
          <w:bCs/>
        </w:rPr>
      </w:pPr>
    </w:p>
    <w:p w:rsidR="008B1B4E" w:rsidRPr="009B29EA" w:rsidRDefault="008B1B4E" w:rsidP="00B26E68">
      <w:pPr>
        <w:ind w:firstLineChars="200" w:firstLine="422"/>
        <w:rPr>
          <w:rFonts w:cs="Times New Roman"/>
          <w:b/>
          <w:bCs/>
        </w:rPr>
      </w:pPr>
    </w:p>
    <w:p w:rsidR="008B1B4E" w:rsidRPr="009B29EA" w:rsidRDefault="008B1B4E" w:rsidP="00B26E68">
      <w:pPr>
        <w:ind w:firstLineChars="200" w:firstLine="422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五、协办单位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北京交通大学基础产业研究中心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北京交通大学中国城镇化研究中心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北京交通大学中国交通运输经济研究中心</w:t>
      </w:r>
    </w:p>
    <w:p w:rsidR="008B1B4E" w:rsidRPr="009B29EA" w:rsidRDefault="008B1B4E" w:rsidP="009B29EA">
      <w:pPr>
        <w:rPr>
          <w:rFonts w:cs="Times New Roman"/>
        </w:rPr>
      </w:pPr>
      <w:r w:rsidRPr="009B29EA">
        <w:rPr>
          <w:rFonts w:cs="宋体" w:hint="eastAsia"/>
        </w:rPr>
        <w:t xml:space="preserve">　　</w:t>
      </w:r>
    </w:p>
    <w:p w:rsidR="008B1B4E" w:rsidRPr="009B29EA" w:rsidRDefault="008B1B4E" w:rsidP="00B26E68">
      <w:pPr>
        <w:ind w:firstLineChars="200" w:firstLine="422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六、征文参考选题</w:t>
      </w:r>
    </w:p>
    <w:p w:rsidR="008B1B4E" w:rsidRPr="009B29EA" w:rsidRDefault="008B1B4E" w:rsidP="00B26E68">
      <w:pPr>
        <w:ind w:firstLineChars="200" w:firstLine="420"/>
      </w:pPr>
      <w:r w:rsidRPr="009B29EA">
        <w:rPr>
          <w:rFonts w:cs="宋体" w:hint="eastAsia"/>
        </w:rPr>
        <w:t>具体范围包括但不局限于以下主题</w:t>
      </w:r>
      <w:r w:rsidRPr="009B29EA">
        <w:t>: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主题一：运输与时空经济理论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运输经济学的理论与方法、时空经济理论、运输资源的时空配置、基于运输的资源时空配置、综合交通经济理论、生态交通经济理论、可持续交通经济理论。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主题二：运输业的供给侧改革政策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综合交通、铁路、公路、水运、民航、城市轨道交通等运输业的供给侧政策变革，国内外经验教训以及对中国的启示作用。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主题三：</w:t>
      </w:r>
      <w:r w:rsidRPr="009B29EA" w:rsidDel="0022409C">
        <w:t xml:space="preserve"> </w:t>
      </w:r>
      <w:r w:rsidRPr="009B29EA">
        <w:rPr>
          <w:rFonts w:cs="宋体" w:hint="eastAsia"/>
        </w:rPr>
        <w:t>交通与城市及城市群形态供给侧改革政策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城市经济学、新型城镇化、城际交通、城市交通、综合交通运输体系、新型城镇化与人口流动、新型城镇化与公共服务资源再配置、京津冀协同发展与交通一体化的供给侧改革政策。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主题四：交通土地综合开发与投融资供给侧政策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交通土地综合开发、交通金融、交通行业投融资体制、交通行业投资项目外部效益评价、交通项目外部效益分配、交通行业公私合作伙伴关系、交通行业投资项目财务评价等供给侧政策。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主题五：其他</w:t>
      </w:r>
    </w:p>
    <w:p w:rsidR="008B1B4E" w:rsidRPr="009B29EA" w:rsidRDefault="008B1B4E" w:rsidP="00B26E68">
      <w:pPr>
        <w:ind w:firstLineChars="200" w:firstLine="420"/>
        <w:rPr>
          <w:rFonts w:cs="Times New Roman"/>
        </w:rPr>
      </w:pPr>
      <w:r w:rsidRPr="009B29EA">
        <w:rPr>
          <w:rFonts w:cs="宋体" w:hint="eastAsia"/>
        </w:rPr>
        <w:t>高速铁路、铁路债务、运输业票价、</w:t>
      </w:r>
      <w:r w:rsidRPr="009B29EA">
        <w:t>PPP</w:t>
      </w:r>
      <w:r w:rsidRPr="009B29EA">
        <w:rPr>
          <w:rFonts w:cs="宋体" w:hint="eastAsia"/>
        </w:rPr>
        <w:t>、项目评价、产业经济、金融、区域经济、技术经济、统计、贸易经济、劳动经济、人力资源管理、创新创业、物流经济、旅游经济、企业经济管理、城市经济管理等。</w:t>
      </w:r>
    </w:p>
    <w:p w:rsidR="008B1B4E" w:rsidRPr="009B29EA" w:rsidRDefault="008B1B4E" w:rsidP="00B26E68">
      <w:pPr>
        <w:ind w:firstLineChars="196" w:firstLine="413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七、征文要求和有关说明</w:t>
      </w:r>
    </w:p>
    <w:p w:rsidR="008B1B4E" w:rsidRPr="009B29EA" w:rsidRDefault="008B1B4E" w:rsidP="009B29EA">
      <w:pPr>
        <w:ind w:firstLine="420"/>
        <w:jc w:val="left"/>
        <w:rPr>
          <w:rFonts w:cs="Times New Roman"/>
        </w:rPr>
      </w:pPr>
      <w:r w:rsidRPr="009B29EA">
        <w:t>1</w:t>
      </w:r>
      <w:r w:rsidRPr="009B29EA">
        <w:rPr>
          <w:rFonts w:cs="宋体" w:hint="eastAsia"/>
        </w:rPr>
        <w:t>、请参照以上征文选题（但不限于）撰写学术论文。提交的论文须未在公开刊物上发表过。论文原则上不超过</w:t>
      </w:r>
      <w:r w:rsidRPr="009B29EA">
        <w:t>10000</w:t>
      </w:r>
      <w:r w:rsidRPr="009B29EA">
        <w:rPr>
          <w:rFonts w:cs="宋体" w:hint="eastAsia"/>
        </w:rPr>
        <w:t>字，至少为</w:t>
      </w:r>
      <w:r w:rsidRPr="009B29EA">
        <w:t>6000</w:t>
      </w:r>
      <w:r w:rsidRPr="009B29EA">
        <w:rPr>
          <w:rFonts w:cs="宋体" w:hint="eastAsia"/>
        </w:rPr>
        <w:t>字。论文格式参见《技术经济》期刊论文模板。论文模板下载网址：</w:t>
      </w:r>
      <w:hyperlink r:id="rId6" w:history="1">
        <w:r w:rsidRPr="009B29EA">
          <w:rPr>
            <w:color w:val="0000FF"/>
            <w:u w:val="single"/>
          </w:rPr>
          <w:t>http://jsji.chinajournal.net.cn/WKB2/WebPublication/index.aspx?mid=JSJI</w:t>
        </w:r>
      </w:hyperlink>
      <w:r w:rsidRPr="009B29EA">
        <w:rPr>
          <w:rFonts w:cs="宋体" w:hint="eastAsia"/>
        </w:rPr>
        <w:t>。</w:t>
      </w:r>
    </w:p>
    <w:p w:rsidR="008B1B4E" w:rsidRPr="009B29EA" w:rsidRDefault="008B1B4E" w:rsidP="009B29EA">
      <w:pPr>
        <w:ind w:firstLine="420"/>
        <w:rPr>
          <w:rFonts w:cs="Times New Roman"/>
        </w:rPr>
      </w:pPr>
      <w:r w:rsidRPr="009B29EA">
        <w:t>2</w:t>
      </w:r>
      <w:r w:rsidRPr="009B29EA">
        <w:rPr>
          <w:rFonts w:cs="宋体" w:hint="eastAsia"/>
        </w:rPr>
        <w:t>、论文文章内容要围绕征文范围，提倡实用性、创新性和前瞻性，且未在国内外学术期刊发表过，文责自负。未被采用的论文恕不退稿。</w:t>
      </w:r>
    </w:p>
    <w:p w:rsidR="008B1B4E" w:rsidRPr="009B29EA" w:rsidRDefault="008B1B4E" w:rsidP="009B29EA">
      <w:pPr>
        <w:ind w:firstLine="420"/>
        <w:rPr>
          <w:rFonts w:cs="Times New Roman"/>
        </w:rPr>
      </w:pPr>
      <w:r w:rsidRPr="009B29EA">
        <w:t>3</w:t>
      </w:r>
      <w:r w:rsidRPr="009B29EA">
        <w:rPr>
          <w:rFonts w:cs="宋体" w:hint="eastAsia"/>
        </w:rPr>
        <w:t>、来稿请在首页注明作者的姓名、单位、职称、通讯地址、邮编、联系电话和</w:t>
      </w:r>
      <w:r w:rsidRPr="009B29EA">
        <w:t>E-mail</w:t>
      </w:r>
      <w:r w:rsidRPr="009B29EA">
        <w:rPr>
          <w:rFonts w:cs="宋体" w:hint="eastAsia"/>
        </w:rPr>
        <w:t>等详细信息。</w:t>
      </w:r>
    </w:p>
    <w:p w:rsidR="008B1B4E" w:rsidRPr="009B29EA" w:rsidRDefault="008B1B4E" w:rsidP="009B29EA">
      <w:pPr>
        <w:ind w:firstLine="405"/>
        <w:rPr>
          <w:rFonts w:cs="Times New Roman"/>
        </w:rPr>
      </w:pPr>
      <w:r w:rsidRPr="009B29EA">
        <w:t>4</w:t>
      </w:r>
      <w:r w:rsidRPr="009B29EA">
        <w:rPr>
          <w:rFonts w:cs="宋体" w:hint="eastAsia"/>
        </w:rPr>
        <w:t>、请作者</w:t>
      </w:r>
      <w:r w:rsidRPr="009B29EA">
        <w:t>2016</w:t>
      </w:r>
      <w:r w:rsidRPr="009B29EA">
        <w:rPr>
          <w:rFonts w:cs="宋体" w:hint="eastAsia"/>
        </w:rPr>
        <w:t>年</w:t>
      </w:r>
      <w:r w:rsidRPr="009B29EA">
        <w:t>9</w:t>
      </w:r>
      <w:r w:rsidRPr="009B29EA">
        <w:rPr>
          <w:rFonts w:cs="宋体" w:hint="eastAsia"/>
        </w:rPr>
        <w:t>月</w:t>
      </w:r>
      <w:r w:rsidRPr="009B29EA">
        <w:t>30</w:t>
      </w:r>
      <w:r w:rsidRPr="009B29EA">
        <w:rPr>
          <w:rFonts w:cs="宋体" w:hint="eastAsia"/>
        </w:rPr>
        <w:t>日前将论文电子版和报名回执通过</w:t>
      </w:r>
      <w:r w:rsidRPr="009B29EA">
        <w:t>E-mail</w:t>
      </w:r>
      <w:r w:rsidRPr="009B29EA">
        <w:rPr>
          <w:rFonts w:cs="宋体" w:hint="eastAsia"/>
        </w:rPr>
        <w:t>发到投稿邮箱</w:t>
      </w:r>
      <w:r w:rsidRPr="009B29EA">
        <w:t>283129726@qq.com</w:t>
      </w:r>
      <w:r w:rsidRPr="009B29EA">
        <w:rPr>
          <w:rFonts w:cs="宋体" w:hint="eastAsia"/>
        </w:rPr>
        <w:t>，请以</w:t>
      </w:r>
      <w:r w:rsidRPr="009B29EA">
        <w:t>A4</w:t>
      </w:r>
      <w:r w:rsidRPr="009B29EA">
        <w:rPr>
          <w:rFonts w:cs="宋体" w:hint="eastAsia"/>
        </w:rPr>
        <w:t>纸页面电子文件方式提交（请以</w:t>
      </w:r>
      <w:r w:rsidRPr="009B29EA">
        <w:t>WORD</w:t>
      </w:r>
      <w:r w:rsidRPr="009B29EA">
        <w:rPr>
          <w:rFonts w:cs="宋体" w:hint="eastAsia"/>
        </w:rPr>
        <w:t>文档或</w:t>
      </w:r>
      <w:r w:rsidRPr="009B29EA">
        <w:t>pdf</w:t>
      </w:r>
      <w:r w:rsidRPr="009B29EA">
        <w:rPr>
          <w:rFonts w:cs="宋体" w:hint="eastAsia"/>
        </w:rPr>
        <w:t>格式作为附件，邮件和文档主题请以“征文主题</w:t>
      </w:r>
      <w:r w:rsidRPr="009B29EA">
        <w:t>+</w:t>
      </w:r>
      <w:r w:rsidRPr="009B29EA">
        <w:rPr>
          <w:rFonts w:cs="宋体" w:hint="eastAsia"/>
        </w:rPr>
        <w:t>作者姓名”方式命名）。本次会议不接受纸质邮寄的稿件。</w:t>
      </w:r>
    </w:p>
    <w:p w:rsidR="008B1B4E" w:rsidRPr="009B29EA" w:rsidRDefault="008B1B4E" w:rsidP="009B29EA">
      <w:pPr>
        <w:ind w:firstLine="420"/>
        <w:rPr>
          <w:rFonts w:cs="Times New Roman"/>
        </w:rPr>
      </w:pPr>
      <w:r w:rsidRPr="009B29EA">
        <w:t>5</w:t>
      </w:r>
      <w:r w:rsidRPr="009B29EA">
        <w:rPr>
          <w:rFonts w:cs="宋体" w:hint="eastAsia"/>
        </w:rPr>
        <w:t>、征集的论文将参加</w:t>
      </w:r>
      <w:r w:rsidRPr="009B29EA">
        <w:t>2016</w:t>
      </w:r>
      <w:r w:rsidRPr="009B29EA">
        <w:rPr>
          <w:rFonts w:cs="宋体" w:hint="eastAsia"/>
        </w:rPr>
        <w:t>年第四届运输与时空经济论坛优秀论文奖的评选，评出一等奖二篇，二等奖五篇，三等奖十篇，由中国技术经济学会、北京交通大学经济管理学院、重</w:t>
      </w:r>
      <w:r w:rsidRPr="009B29EA">
        <w:rPr>
          <w:rFonts w:cs="宋体" w:hint="eastAsia"/>
        </w:rPr>
        <w:lastRenderedPageBreak/>
        <w:t>庆交通大学经济管理学院共同颁发获奖证书。</w:t>
      </w:r>
    </w:p>
    <w:p w:rsidR="008B1B4E" w:rsidRPr="009B29EA" w:rsidRDefault="008B1B4E" w:rsidP="009B29EA">
      <w:pPr>
        <w:ind w:firstLine="405"/>
        <w:rPr>
          <w:rFonts w:cs="Times New Roman"/>
        </w:rPr>
      </w:pPr>
      <w:r w:rsidRPr="009B29EA">
        <w:t>6</w:t>
      </w:r>
      <w:r w:rsidRPr="009B29EA">
        <w:rPr>
          <w:rFonts w:cs="宋体" w:hint="eastAsia"/>
        </w:rPr>
        <w:t>、论坛主办者将根据提交论文质量确定与会发言的代表，报第四届运输与时空经济论坛学术委员会审核后发出正式邀请函。论坛将从论坛论文中选择部分高质量论文经扩充和修改后向《管理世界》、《中国工业经济》、《技术经济》、《北京交通大学学报（社会科学版》等期刊推荐发表。</w:t>
      </w:r>
    </w:p>
    <w:p w:rsidR="008B1B4E" w:rsidRPr="009B29EA" w:rsidRDefault="008B1B4E" w:rsidP="00B26E68">
      <w:pPr>
        <w:ind w:firstLineChars="196" w:firstLine="413"/>
        <w:rPr>
          <w:rFonts w:cs="Times New Roman"/>
          <w:b/>
          <w:bCs/>
        </w:rPr>
      </w:pPr>
      <w:r w:rsidRPr="009B29EA">
        <w:rPr>
          <w:rFonts w:cs="宋体" w:hint="eastAsia"/>
          <w:b/>
          <w:bCs/>
        </w:rPr>
        <w:t>八、其他注意事项</w:t>
      </w:r>
    </w:p>
    <w:p w:rsidR="008B1B4E" w:rsidRPr="009B29EA" w:rsidRDefault="008B1B4E" w:rsidP="009B29EA">
      <w:pPr>
        <w:ind w:firstLine="420"/>
        <w:rPr>
          <w:rFonts w:cs="Times New Roman"/>
        </w:rPr>
      </w:pPr>
      <w:r w:rsidRPr="009B29EA">
        <w:t>1</w:t>
      </w:r>
      <w:r w:rsidRPr="009B29EA">
        <w:rPr>
          <w:rFonts w:cs="宋体" w:hint="eastAsia"/>
        </w:rPr>
        <w:t>、会议期间代表住宿统一安排，费用自理。组委会秘书处将根据报名表于</w:t>
      </w:r>
      <w:r w:rsidRPr="009B29EA">
        <w:t>9</w:t>
      </w:r>
      <w:r w:rsidRPr="009B29EA">
        <w:rPr>
          <w:rFonts w:cs="宋体" w:hint="eastAsia"/>
        </w:rPr>
        <w:t>月</w:t>
      </w:r>
      <w:r w:rsidRPr="009B29EA">
        <w:t>30</w:t>
      </w:r>
      <w:r w:rsidRPr="009B29EA">
        <w:rPr>
          <w:rFonts w:cs="宋体" w:hint="eastAsia"/>
        </w:rPr>
        <w:t>日前寄发报到通知，告知具体报到地点、交通路线、食宿及日程安排等具体事宜。</w:t>
      </w:r>
    </w:p>
    <w:p w:rsidR="008B1B4E" w:rsidRPr="009B29EA" w:rsidRDefault="008B1B4E" w:rsidP="009B29EA">
      <w:pPr>
        <w:ind w:firstLine="420"/>
        <w:jc w:val="left"/>
        <w:rPr>
          <w:rFonts w:cs="Times New Roman"/>
        </w:rPr>
      </w:pPr>
      <w:r w:rsidRPr="009B29EA">
        <w:t>2</w:t>
      </w:r>
      <w:r w:rsidRPr="009B29EA">
        <w:rPr>
          <w:rFonts w:cs="宋体" w:hint="eastAsia"/>
        </w:rPr>
        <w:t>、重要时间节点：</w:t>
      </w:r>
    </w:p>
    <w:p w:rsidR="008B1B4E" w:rsidRPr="009B29EA" w:rsidRDefault="008B1B4E" w:rsidP="009B29EA">
      <w:pPr>
        <w:ind w:firstLine="420"/>
        <w:jc w:val="left"/>
        <w:rPr>
          <w:rFonts w:cs="Times New Roman"/>
        </w:rPr>
      </w:pPr>
      <w:r w:rsidRPr="009B29EA">
        <w:rPr>
          <w:rFonts w:cs="宋体" w:hint="eastAsia"/>
        </w:rPr>
        <w:t>论文摘要截止日：</w:t>
      </w:r>
      <w:r w:rsidRPr="009B29EA">
        <w:t>2016</w:t>
      </w:r>
      <w:r w:rsidRPr="009B29EA">
        <w:rPr>
          <w:rFonts w:cs="宋体" w:hint="eastAsia"/>
        </w:rPr>
        <w:t>年</w:t>
      </w:r>
      <w:r w:rsidRPr="009B29EA">
        <w:t>8</w:t>
      </w:r>
      <w:r w:rsidRPr="009B29EA">
        <w:rPr>
          <w:rFonts w:cs="宋体" w:hint="eastAsia"/>
        </w:rPr>
        <w:t>月</w:t>
      </w:r>
      <w:r w:rsidRPr="009B29EA">
        <w:t>30</w:t>
      </w:r>
      <w:r w:rsidRPr="009B29EA">
        <w:rPr>
          <w:rFonts w:cs="宋体" w:hint="eastAsia"/>
        </w:rPr>
        <w:t>日。</w:t>
      </w:r>
    </w:p>
    <w:p w:rsidR="008B1B4E" w:rsidRPr="009B29EA" w:rsidRDefault="008B1B4E" w:rsidP="009B29EA">
      <w:pPr>
        <w:ind w:firstLine="420"/>
        <w:jc w:val="left"/>
        <w:rPr>
          <w:rFonts w:cs="Times New Roman"/>
        </w:rPr>
      </w:pPr>
      <w:r w:rsidRPr="009B29EA">
        <w:rPr>
          <w:rFonts w:cs="宋体" w:hint="eastAsia"/>
        </w:rPr>
        <w:t>论文提交截止日：</w:t>
      </w:r>
      <w:r w:rsidRPr="009B29EA">
        <w:t>2016</w:t>
      </w:r>
      <w:r w:rsidRPr="009B29EA">
        <w:rPr>
          <w:rFonts w:cs="宋体" w:hint="eastAsia"/>
        </w:rPr>
        <w:t>年</w:t>
      </w:r>
      <w:r w:rsidRPr="009B29EA">
        <w:t>9</w:t>
      </w:r>
      <w:r w:rsidRPr="009B29EA">
        <w:rPr>
          <w:rFonts w:cs="宋体" w:hint="eastAsia"/>
        </w:rPr>
        <w:t>月</w:t>
      </w:r>
      <w:r w:rsidRPr="009B29EA">
        <w:t>30</w:t>
      </w:r>
      <w:r w:rsidRPr="009B29EA">
        <w:rPr>
          <w:rFonts w:cs="宋体" w:hint="eastAsia"/>
        </w:rPr>
        <w:t>日。</w:t>
      </w:r>
    </w:p>
    <w:p w:rsidR="008B1B4E" w:rsidRPr="009B29EA" w:rsidRDefault="008B1B4E" w:rsidP="009B29EA">
      <w:pPr>
        <w:ind w:firstLine="420"/>
        <w:jc w:val="left"/>
        <w:rPr>
          <w:rFonts w:cs="Times New Roman"/>
        </w:rPr>
      </w:pPr>
      <w:r w:rsidRPr="009B29EA">
        <w:rPr>
          <w:rFonts w:cs="宋体" w:hint="eastAsia"/>
        </w:rPr>
        <w:t>论坛报名截止日：</w:t>
      </w:r>
      <w:r w:rsidRPr="009B29EA">
        <w:t>2016</w:t>
      </w:r>
      <w:r w:rsidRPr="009B29EA">
        <w:rPr>
          <w:rFonts w:cs="宋体" w:hint="eastAsia"/>
        </w:rPr>
        <w:t>年</w:t>
      </w:r>
      <w:r w:rsidRPr="009B29EA">
        <w:t>10</w:t>
      </w:r>
      <w:r w:rsidRPr="009B29EA">
        <w:rPr>
          <w:rFonts w:cs="宋体" w:hint="eastAsia"/>
        </w:rPr>
        <w:t>月</w:t>
      </w:r>
      <w:r w:rsidRPr="009B29EA">
        <w:t>31</w:t>
      </w:r>
      <w:r w:rsidRPr="009B29EA">
        <w:rPr>
          <w:rFonts w:cs="宋体" w:hint="eastAsia"/>
        </w:rPr>
        <w:t>日。</w:t>
      </w:r>
    </w:p>
    <w:p w:rsidR="008B1B4E" w:rsidRPr="009B29EA" w:rsidRDefault="008B1B4E" w:rsidP="00B26E68">
      <w:pPr>
        <w:ind w:firstLineChars="196" w:firstLine="412"/>
        <w:outlineLvl w:val="0"/>
        <w:rPr>
          <w:rFonts w:cs="Times New Roman"/>
        </w:rPr>
      </w:pPr>
      <w:bookmarkStart w:id="2" w:name="_Toc454875236"/>
      <w:r w:rsidRPr="009B29EA">
        <w:t>3</w:t>
      </w:r>
      <w:r w:rsidRPr="009B29EA">
        <w:rPr>
          <w:rFonts w:cs="宋体" w:hint="eastAsia"/>
        </w:rPr>
        <w:t>、论坛联系人：</w:t>
      </w:r>
      <w:bookmarkEnd w:id="2"/>
    </w:p>
    <w:p w:rsidR="008B1B4E" w:rsidRPr="00F86C70" w:rsidRDefault="008B1B4E" w:rsidP="00B26E68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</w:rPr>
      </w:pPr>
      <w:r w:rsidRPr="00F86C70">
        <w:rPr>
          <w:rFonts w:ascii="Times New Roman" w:hAnsi="Times New Roman" w:cs="宋体" w:hint="eastAsia"/>
          <w:kern w:val="0"/>
        </w:rPr>
        <w:t>联系人：</w:t>
      </w:r>
    </w:p>
    <w:p w:rsidR="008B1B4E" w:rsidRPr="00556428" w:rsidRDefault="008B1B4E" w:rsidP="00B26E68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color w:val="FF0000"/>
          <w:kern w:val="0"/>
        </w:rPr>
      </w:pPr>
      <w:r w:rsidRPr="00556428">
        <w:rPr>
          <w:rFonts w:ascii="Times New Roman" w:hAnsi="Times New Roman" w:cs="Times New Roman"/>
          <w:color w:val="FF0000"/>
          <w:kern w:val="0"/>
        </w:rPr>
        <w:t xml:space="preserve">    </w:t>
      </w:r>
      <w:r w:rsidRPr="00556428">
        <w:rPr>
          <w:rFonts w:ascii="Times New Roman" w:hAnsi="Times New Roman" w:cs="宋体" w:hint="eastAsia"/>
          <w:color w:val="FF0000"/>
          <w:kern w:val="0"/>
        </w:rPr>
        <w:t>李</w:t>
      </w:r>
      <w:r w:rsidRPr="00556428">
        <w:rPr>
          <w:rFonts w:ascii="Times New Roman" w:hAnsi="Times New Roman" w:cs="Times New Roman"/>
          <w:color w:val="FF0000"/>
          <w:kern w:val="0"/>
        </w:rPr>
        <w:t xml:space="preserve">  </w:t>
      </w:r>
      <w:r w:rsidRPr="00556428">
        <w:rPr>
          <w:rFonts w:ascii="Times New Roman" w:hAnsi="Times New Roman" w:cs="宋体" w:hint="eastAsia"/>
          <w:color w:val="FF0000"/>
          <w:kern w:val="0"/>
        </w:rPr>
        <w:t>豪老师，</w:t>
      </w:r>
      <w:r w:rsidRPr="00556428">
        <w:rPr>
          <w:rFonts w:ascii="Times New Roman" w:hAnsi="Times New Roman" w:cs="Times New Roman"/>
          <w:color w:val="FF0000"/>
          <w:kern w:val="0"/>
        </w:rPr>
        <w:t>023-62789005</w:t>
      </w:r>
      <w:r w:rsidRPr="00556428">
        <w:rPr>
          <w:rFonts w:ascii="Times New Roman" w:hAnsi="Times New Roman" w:cs="宋体" w:hint="eastAsia"/>
          <w:color w:val="FF0000"/>
          <w:kern w:val="0"/>
        </w:rPr>
        <w:t>，</w:t>
      </w:r>
      <w:r w:rsidRPr="00556428">
        <w:rPr>
          <w:rFonts w:ascii="Times New Roman" w:hAnsi="Times New Roman" w:cs="Times New Roman"/>
          <w:color w:val="FF0000"/>
          <w:kern w:val="0"/>
        </w:rPr>
        <w:t>13637751518</w:t>
      </w:r>
      <w:r w:rsidRPr="00556428">
        <w:rPr>
          <w:rFonts w:ascii="Times New Roman" w:hAnsi="Times New Roman" w:cs="宋体" w:hint="eastAsia"/>
          <w:color w:val="FF0000"/>
          <w:kern w:val="0"/>
        </w:rPr>
        <w:t>；</w:t>
      </w:r>
      <w:r w:rsidRPr="00556428">
        <w:rPr>
          <w:rFonts w:ascii="Times New Roman" w:hAnsi="Times New Roman" w:cs="Times New Roman"/>
          <w:color w:val="FF0000"/>
          <w:kern w:val="0"/>
        </w:rPr>
        <w:t>email: 245388955@qq.com</w:t>
      </w:r>
    </w:p>
    <w:p w:rsidR="008B1B4E" w:rsidRPr="00F86C70" w:rsidRDefault="008B1B4E" w:rsidP="00B26E68">
      <w:pPr>
        <w:autoSpaceDE w:val="0"/>
        <w:autoSpaceDN w:val="0"/>
        <w:adjustRightInd w:val="0"/>
        <w:ind w:firstLineChars="400" w:firstLine="840"/>
        <w:jc w:val="left"/>
        <w:rPr>
          <w:rFonts w:ascii="Times New Roman" w:hAnsi="Times New Roman" w:cs="Times New Roman"/>
          <w:kern w:val="0"/>
        </w:rPr>
      </w:pPr>
      <w:r w:rsidRPr="00F86C70">
        <w:rPr>
          <w:rFonts w:ascii="Times New Roman" w:hAnsi="Times New Roman" w:cs="宋体" w:hint="eastAsia"/>
          <w:kern w:val="0"/>
        </w:rPr>
        <w:t>李红昌老师，</w:t>
      </w:r>
      <w:r w:rsidRPr="00F86C70">
        <w:rPr>
          <w:rFonts w:ascii="Times New Roman" w:hAnsi="Times New Roman" w:cs="Times New Roman"/>
          <w:kern w:val="0"/>
        </w:rPr>
        <w:t>010-51687191</w:t>
      </w:r>
      <w:r w:rsidRPr="00F86C70">
        <w:rPr>
          <w:rFonts w:ascii="Times New Roman" w:hAnsi="Times New Roman" w:cs="宋体" w:hint="eastAsia"/>
          <w:kern w:val="0"/>
        </w:rPr>
        <w:t>，</w:t>
      </w:r>
      <w:r w:rsidRPr="00F86C70">
        <w:rPr>
          <w:rFonts w:ascii="Times New Roman" w:hAnsi="Times New Roman" w:cs="Times New Roman"/>
          <w:kern w:val="0"/>
        </w:rPr>
        <w:t>18701471809</w:t>
      </w:r>
      <w:r w:rsidRPr="00F86C70">
        <w:rPr>
          <w:rFonts w:ascii="Times New Roman" w:hAnsi="Times New Roman" w:cs="宋体" w:hint="eastAsia"/>
          <w:kern w:val="0"/>
        </w:rPr>
        <w:t>；</w:t>
      </w:r>
      <w:r w:rsidRPr="00F86C70">
        <w:rPr>
          <w:rFonts w:ascii="Times New Roman" w:hAnsi="Times New Roman" w:cs="Times New Roman"/>
          <w:kern w:val="0"/>
        </w:rPr>
        <w:t>email: 283129726@qq.com</w:t>
      </w:r>
    </w:p>
    <w:p w:rsidR="008B1B4E" w:rsidRPr="009B29EA" w:rsidRDefault="008B1B4E" w:rsidP="00C17C5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:rsidR="008B1B4E" w:rsidRPr="009B29EA" w:rsidRDefault="008B1B4E" w:rsidP="009B29E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</w:rPr>
      </w:pPr>
    </w:p>
    <w:p w:rsidR="008B1B4E" w:rsidRPr="009B29EA" w:rsidRDefault="008B1B4E" w:rsidP="009B29EA">
      <w:pPr>
        <w:jc w:val="right"/>
        <w:rPr>
          <w:rFonts w:cs="Times New Roman"/>
        </w:rPr>
      </w:pPr>
      <w:r w:rsidRPr="009B29EA">
        <w:rPr>
          <w:rFonts w:cs="宋体" w:hint="eastAsia"/>
        </w:rPr>
        <w:t>论坛组委会</w:t>
      </w:r>
    </w:p>
    <w:p w:rsidR="008B1B4E" w:rsidRPr="009B29EA" w:rsidRDefault="008B1B4E" w:rsidP="009B29EA">
      <w:pPr>
        <w:jc w:val="right"/>
        <w:rPr>
          <w:rFonts w:cs="Times New Roman"/>
        </w:rPr>
      </w:pPr>
      <w:r w:rsidRPr="009B29EA">
        <w:t>2016</w:t>
      </w:r>
      <w:r w:rsidRPr="009B29EA">
        <w:rPr>
          <w:rFonts w:cs="宋体" w:hint="eastAsia"/>
        </w:rPr>
        <w:t>年</w:t>
      </w:r>
      <w:r w:rsidRPr="009B29EA">
        <w:t>6</w:t>
      </w:r>
      <w:r w:rsidRPr="009B29EA">
        <w:rPr>
          <w:rFonts w:cs="宋体" w:hint="eastAsia"/>
        </w:rPr>
        <w:t>月</w:t>
      </w:r>
    </w:p>
    <w:p w:rsidR="008B1B4E" w:rsidRPr="009B29EA" w:rsidRDefault="008B1B4E" w:rsidP="009B29EA">
      <w:pPr>
        <w:jc w:val="right"/>
        <w:rPr>
          <w:rFonts w:cs="Times New Roman"/>
        </w:rPr>
      </w:pPr>
    </w:p>
    <w:p w:rsidR="008B1B4E" w:rsidRDefault="008B1B4E" w:rsidP="009B29EA">
      <w:pPr>
        <w:ind w:right="420"/>
        <w:rPr>
          <w:rFonts w:cs="Times New Roman"/>
        </w:rPr>
      </w:pPr>
    </w:p>
    <w:p w:rsidR="008B1B4E" w:rsidRDefault="008B1B4E" w:rsidP="009B29EA">
      <w:pPr>
        <w:ind w:right="420"/>
        <w:rPr>
          <w:rFonts w:cs="Times New Roman"/>
        </w:rPr>
        <w:sectPr w:rsidR="008B1B4E" w:rsidSect="00A6449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B1B4E" w:rsidRDefault="008B1B4E" w:rsidP="009B29EA">
      <w:pPr>
        <w:ind w:right="420"/>
        <w:rPr>
          <w:rFonts w:cs="Times New Roman"/>
        </w:rPr>
      </w:pPr>
    </w:p>
    <w:p w:rsidR="008B1B4E" w:rsidRPr="009B29EA" w:rsidRDefault="008B1B4E" w:rsidP="0011695F">
      <w:pPr>
        <w:pStyle w:val="1"/>
        <w:spacing w:before="0" w:after="0" w:line="360" w:lineRule="auto"/>
        <w:jc w:val="center"/>
        <w:rPr>
          <w:rFonts w:cs="Times New Roman"/>
          <w:sz w:val="28"/>
          <w:szCs w:val="28"/>
        </w:rPr>
      </w:pPr>
      <w:bookmarkStart w:id="3" w:name="_Toc454875239"/>
      <w:r w:rsidRPr="009B29EA">
        <w:rPr>
          <w:rFonts w:cs="宋体" w:hint="eastAsia"/>
          <w:sz w:val="28"/>
          <w:szCs w:val="28"/>
        </w:rPr>
        <w:t>第</w:t>
      </w:r>
      <w:r w:rsidR="006161D4">
        <w:rPr>
          <w:rFonts w:cs="宋体" w:hint="eastAsia"/>
          <w:sz w:val="28"/>
          <w:szCs w:val="28"/>
        </w:rPr>
        <w:t>四</w:t>
      </w:r>
      <w:r w:rsidRPr="009B29EA">
        <w:rPr>
          <w:rFonts w:cs="宋体" w:hint="eastAsia"/>
          <w:sz w:val="28"/>
          <w:szCs w:val="28"/>
        </w:rPr>
        <w:t>届“运输与时空经济论坛”论坛</w:t>
      </w:r>
      <w:bookmarkEnd w:id="3"/>
    </w:p>
    <w:p w:rsidR="008B1B4E" w:rsidRPr="009B29EA" w:rsidRDefault="008B1B4E" w:rsidP="0011695F">
      <w:pPr>
        <w:pStyle w:val="1"/>
        <w:spacing w:before="0" w:after="0" w:line="360" w:lineRule="auto"/>
        <w:jc w:val="center"/>
        <w:rPr>
          <w:rFonts w:cs="Times New Roman"/>
          <w:sz w:val="28"/>
          <w:szCs w:val="28"/>
        </w:rPr>
      </w:pPr>
      <w:bookmarkStart w:id="4" w:name="_Toc454875240"/>
      <w:r w:rsidRPr="009B29EA">
        <w:rPr>
          <w:rFonts w:cs="宋体" w:hint="eastAsia"/>
          <w:sz w:val="28"/>
          <w:szCs w:val="28"/>
        </w:rPr>
        <w:t>报名回执</w:t>
      </w:r>
      <w:bookmarkEnd w:id="4"/>
    </w:p>
    <w:tbl>
      <w:tblPr>
        <w:tblpPr w:leftFromText="180" w:rightFromText="180" w:vertAnchor="text" w:horzAnchor="margin" w:tblpY="294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2730"/>
        <w:gridCol w:w="720"/>
        <w:gridCol w:w="59"/>
        <w:gridCol w:w="710"/>
        <w:gridCol w:w="671"/>
        <w:gridCol w:w="720"/>
        <w:gridCol w:w="1980"/>
      </w:tblGrid>
      <w:tr w:rsidR="008B1B4E" w:rsidRPr="009B29EA">
        <w:trPr>
          <w:trHeight w:hRule="exact" w:val="714"/>
        </w:trPr>
        <w:tc>
          <w:tcPr>
            <w:tcW w:w="1230" w:type="dxa"/>
            <w:vAlign w:val="center"/>
          </w:tcPr>
          <w:p w:rsidR="008B1B4E" w:rsidRPr="009B29EA" w:rsidRDefault="008B1B4E" w:rsidP="00B26E68">
            <w:pPr>
              <w:spacing w:line="40" w:lineRule="exact"/>
              <w:ind w:leftChars="27" w:left="57" w:firstLineChars="50" w:firstLine="105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B26E68">
            <w:pPr>
              <w:ind w:firstLineChars="100" w:firstLine="210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730" w:type="dxa"/>
            <w:vAlign w:val="center"/>
          </w:tcPr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20" w:type="dxa"/>
            <w:vAlign w:val="center"/>
          </w:tcPr>
          <w:p w:rsidR="008B1B4E" w:rsidRPr="009B29EA" w:rsidRDefault="008B1B4E" w:rsidP="009B29EA">
            <w:pPr>
              <w:widowControl/>
              <w:spacing w:line="40" w:lineRule="exact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8B1B4E" w:rsidRPr="009B29EA" w:rsidRDefault="008B1B4E" w:rsidP="009B29EA">
            <w:pPr>
              <w:widowControl/>
              <w:spacing w:line="40" w:lineRule="exact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40" w:lineRule="exact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B26E68">
            <w:pPr>
              <w:ind w:firstLineChars="100" w:firstLine="210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40" w:lineRule="exact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40" w:lineRule="exact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720" w:type="dxa"/>
            <w:vAlign w:val="center"/>
          </w:tcPr>
          <w:p w:rsidR="008B1B4E" w:rsidRPr="009B29EA" w:rsidRDefault="008B1B4E" w:rsidP="009B29EA">
            <w:pPr>
              <w:widowControl/>
              <w:spacing w:line="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职务</w:t>
            </w:r>
          </w:p>
          <w:p w:rsidR="008B1B4E" w:rsidRPr="009B29EA" w:rsidRDefault="008B1B4E" w:rsidP="009B29EA">
            <w:pPr>
              <w:widowControl/>
              <w:spacing w:line="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职称</w:t>
            </w: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1980" w:type="dxa"/>
            <w:vAlign w:val="center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1021"/>
        </w:trPr>
        <w:tc>
          <w:tcPr>
            <w:tcW w:w="1230" w:type="dxa"/>
            <w:vAlign w:val="center"/>
          </w:tcPr>
          <w:p w:rsidR="008B1B4E" w:rsidRPr="009B29EA" w:rsidRDefault="008B1B4E" w:rsidP="009B29EA">
            <w:pPr>
              <w:spacing w:line="60" w:lineRule="exact"/>
              <w:ind w:left="57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B26E68">
            <w:pPr>
              <w:spacing w:line="240" w:lineRule="exact"/>
              <w:ind w:leftChars="27" w:left="57"/>
              <w:rPr>
                <w:rFonts w:ascii="宋体" w:cs="Times New Roman"/>
              </w:rPr>
            </w:pPr>
          </w:p>
          <w:p w:rsidR="008B1B4E" w:rsidRPr="009B29EA" w:rsidRDefault="008B1B4E" w:rsidP="00B26E68">
            <w:pPr>
              <w:ind w:leftChars="27" w:left="57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工作单位</w:t>
            </w:r>
          </w:p>
          <w:p w:rsidR="008B1B4E" w:rsidRPr="009B29EA" w:rsidRDefault="008B1B4E" w:rsidP="009B29EA">
            <w:pPr>
              <w:ind w:left="57"/>
              <w:jc w:val="center"/>
              <w:rPr>
                <w:rFonts w:ascii="宋体" w:cs="Times New Roman"/>
              </w:rPr>
            </w:pPr>
          </w:p>
        </w:tc>
        <w:tc>
          <w:tcPr>
            <w:tcW w:w="7590" w:type="dxa"/>
            <w:gridSpan w:val="7"/>
          </w:tcPr>
          <w:p w:rsidR="008B1B4E" w:rsidRPr="009B29EA" w:rsidRDefault="008B1B4E" w:rsidP="00B26E68">
            <w:pPr>
              <w:spacing w:line="200" w:lineRule="exact"/>
              <w:ind w:firstLineChars="100" w:firstLine="210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1021"/>
        </w:trPr>
        <w:tc>
          <w:tcPr>
            <w:tcW w:w="1230" w:type="dxa"/>
            <w:vAlign w:val="center"/>
          </w:tcPr>
          <w:p w:rsidR="008B1B4E" w:rsidRPr="009B29EA" w:rsidRDefault="008B1B4E" w:rsidP="009B29EA">
            <w:pPr>
              <w:spacing w:line="16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通讯地址</w:t>
            </w: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</w:p>
        </w:tc>
        <w:tc>
          <w:tcPr>
            <w:tcW w:w="4890" w:type="dxa"/>
            <w:gridSpan w:val="5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720" w:type="dxa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邮编</w:t>
            </w: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1980" w:type="dxa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454"/>
        </w:trPr>
        <w:tc>
          <w:tcPr>
            <w:tcW w:w="1230" w:type="dxa"/>
            <w:vMerge w:val="restart"/>
            <w:vAlign w:val="center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240" w:lineRule="exact"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B26E68">
            <w:pPr>
              <w:widowControl/>
              <w:ind w:firstLineChars="100" w:firstLine="210"/>
              <w:jc w:val="lef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电</w:t>
            </w:r>
            <w:r w:rsidRPr="009B29EA">
              <w:rPr>
                <w:rFonts w:ascii="宋体" w:hAnsi="宋体" w:cs="宋体"/>
              </w:rPr>
              <w:t xml:space="preserve">  </w:t>
            </w:r>
            <w:r w:rsidRPr="009B29EA">
              <w:rPr>
                <w:rFonts w:ascii="宋体" w:hAnsi="宋体" w:cs="宋体" w:hint="eastAsia"/>
              </w:rPr>
              <w:t>话</w:t>
            </w:r>
          </w:p>
          <w:p w:rsidR="008B1B4E" w:rsidRPr="009B29EA" w:rsidRDefault="008B1B4E" w:rsidP="009B29EA">
            <w:pPr>
              <w:widowControl/>
              <w:spacing w:line="160" w:lineRule="exact"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1B4E" w:rsidRPr="009B29EA" w:rsidRDefault="008B1B4E" w:rsidP="009B29EA">
            <w:pPr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办公</w:t>
            </w:r>
          </w:p>
        </w:tc>
        <w:tc>
          <w:tcPr>
            <w:tcW w:w="710" w:type="dxa"/>
            <w:vMerge w:val="restart"/>
          </w:tcPr>
          <w:p w:rsidR="008B1B4E" w:rsidRPr="009B29EA" w:rsidRDefault="008B1B4E" w:rsidP="009B29EA">
            <w:pPr>
              <w:widowControl/>
              <w:spacing w:line="100" w:lineRule="exact"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60" w:lineRule="exact"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spacing w:line="180" w:lineRule="exact"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电子</w:t>
            </w: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邮箱</w:t>
            </w: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3371" w:type="dxa"/>
            <w:gridSpan w:val="3"/>
            <w:vMerge w:val="restart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454"/>
        </w:trPr>
        <w:tc>
          <w:tcPr>
            <w:tcW w:w="1230" w:type="dxa"/>
            <w:vMerge/>
            <w:vAlign w:val="center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1B4E" w:rsidRPr="009B29EA" w:rsidRDefault="008B1B4E" w:rsidP="009B29EA">
            <w:pPr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710" w:type="dxa"/>
            <w:vMerge/>
          </w:tcPr>
          <w:p w:rsidR="008B1B4E" w:rsidRPr="009B29EA" w:rsidRDefault="008B1B4E" w:rsidP="009B29EA">
            <w:pPr>
              <w:widowControl/>
              <w:spacing w:line="1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3371" w:type="dxa"/>
            <w:gridSpan w:val="3"/>
            <w:vMerge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454"/>
        </w:trPr>
        <w:tc>
          <w:tcPr>
            <w:tcW w:w="1230" w:type="dxa"/>
            <w:vMerge/>
            <w:vAlign w:val="center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1B4E" w:rsidRPr="009B29EA" w:rsidRDefault="008B1B4E" w:rsidP="009B29EA">
            <w:pPr>
              <w:widowControl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传真</w:t>
            </w:r>
          </w:p>
          <w:p w:rsidR="008B1B4E" w:rsidRPr="009B29EA" w:rsidRDefault="008B1B4E" w:rsidP="009B29EA">
            <w:pPr>
              <w:rPr>
                <w:rFonts w:ascii="宋体" w:cs="Times New Roman"/>
              </w:rPr>
            </w:pPr>
          </w:p>
        </w:tc>
        <w:tc>
          <w:tcPr>
            <w:tcW w:w="710" w:type="dxa"/>
            <w:vMerge/>
          </w:tcPr>
          <w:p w:rsidR="008B1B4E" w:rsidRPr="009B29EA" w:rsidRDefault="008B1B4E" w:rsidP="009B29EA">
            <w:pPr>
              <w:widowControl/>
              <w:spacing w:line="100" w:lineRule="exact"/>
              <w:jc w:val="left"/>
              <w:rPr>
                <w:rFonts w:ascii="宋体" w:cs="Times New Roman"/>
              </w:rPr>
            </w:pPr>
          </w:p>
        </w:tc>
        <w:tc>
          <w:tcPr>
            <w:tcW w:w="3371" w:type="dxa"/>
            <w:gridSpan w:val="3"/>
            <w:vMerge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8B1B4E" w:rsidRPr="009B29EA">
        <w:trPr>
          <w:trHeight w:hRule="exact" w:val="1067"/>
        </w:trPr>
        <w:tc>
          <w:tcPr>
            <w:tcW w:w="1230" w:type="dxa"/>
            <w:vAlign w:val="center"/>
          </w:tcPr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参会学术交流信息</w:t>
            </w: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spacing w:line="240" w:lineRule="exact"/>
              <w:ind w:left="57"/>
              <w:jc w:val="center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spacing w:line="240" w:lineRule="exact"/>
              <w:ind w:left="57"/>
              <w:jc w:val="center"/>
              <w:rPr>
                <w:rFonts w:ascii="宋体" w:cs="Times New Roman"/>
              </w:rPr>
            </w:pPr>
          </w:p>
        </w:tc>
        <w:tc>
          <w:tcPr>
            <w:tcW w:w="7590" w:type="dxa"/>
            <w:gridSpan w:val="7"/>
          </w:tcPr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  <w:r w:rsidRPr="009B29EA">
              <w:rPr>
                <w:rFonts w:ascii="宋体" w:hAnsi="宋体" w:cs="宋体" w:hint="eastAsia"/>
                <w:sz w:val="24"/>
                <w:szCs w:val="24"/>
              </w:rPr>
              <w:t>论文题目：</w:t>
            </w:r>
          </w:p>
          <w:p w:rsidR="008B1B4E" w:rsidRPr="009B29EA" w:rsidRDefault="008B1B4E" w:rsidP="009B29EA">
            <w:pPr>
              <w:spacing w:line="240" w:lineRule="exact"/>
              <w:ind w:left="360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 w:rsidR="008B1B4E" w:rsidRPr="009B29EA">
        <w:trPr>
          <w:trHeight w:hRule="exact" w:val="1231"/>
        </w:trPr>
        <w:tc>
          <w:tcPr>
            <w:tcW w:w="1230" w:type="dxa"/>
            <w:vAlign w:val="center"/>
          </w:tcPr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  <w:r w:rsidRPr="009B29EA">
              <w:rPr>
                <w:rFonts w:ascii="宋体" w:hAnsi="宋体" w:cs="宋体" w:hint="eastAsia"/>
              </w:rPr>
              <w:t>住宿信息</w:t>
            </w:r>
          </w:p>
        </w:tc>
        <w:tc>
          <w:tcPr>
            <w:tcW w:w="7590" w:type="dxa"/>
            <w:gridSpan w:val="7"/>
          </w:tcPr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  <w:r w:rsidRPr="009B29EA">
              <w:rPr>
                <w:rFonts w:ascii="宋体" w:hAnsi="宋体" w:cs="宋体" w:hint="eastAsia"/>
                <w:sz w:val="24"/>
                <w:szCs w:val="24"/>
              </w:rPr>
              <w:t>您需要会议统一安排住宿，请选择：</w:t>
            </w:r>
            <w:r w:rsidRPr="009B29EA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sz w:val="24"/>
                <w:szCs w:val="24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黑体" w:eastAsia="黑体" w:hAnsi="宋体" w:cs="Times New Roman"/>
              </w:rPr>
            </w:pPr>
            <w:r w:rsidRPr="009B29EA">
              <w:rPr>
                <w:rFonts w:ascii="宋体" w:hAnsi="宋体" w:cs="宋体" w:hint="eastAsia"/>
                <w:sz w:val="24"/>
                <w:szCs w:val="24"/>
              </w:rPr>
              <w:t>单独住＿＿＿＿</w:t>
            </w:r>
            <w:r w:rsidRPr="009B29E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B29EA">
              <w:rPr>
                <w:rFonts w:ascii="宋体" w:hAnsi="宋体" w:cs="宋体" w:hint="eastAsia"/>
                <w:sz w:val="24"/>
                <w:szCs w:val="24"/>
              </w:rPr>
              <w:t>间；或与代表合住＿＿＿</w:t>
            </w:r>
            <w:r w:rsidRPr="009B29EA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9B29EA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</w:tr>
      <w:tr w:rsidR="008B1B4E" w:rsidRPr="009B29EA">
        <w:trPr>
          <w:trHeight w:hRule="exact" w:val="1231"/>
        </w:trPr>
        <w:tc>
          <w:tcPr>
            <w:tcW w:w="1230" w:type="dxa"/>
            <w:vAlign w:val="center"/>
          </w:tcPr>
          <w:p w:rsidR="008B1B4E" w:rsidRPr="009B29EA" w:rsidRDefault="008B1B4E" w:rsidP="009B29E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9B2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论文出版</w:t>
            </w:r>
          </w:p>
        </w:tc>
        <w:tc>
          <w:tcPr>
            <w:tcW w:w="7590" w:type="dxa"/>
            <w:gridSpan w:val="7"/>
          </w:tcPr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9B29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 w:rsidRPr="009B2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同意，可公开出版</w:t>
            </w:r>
          </w:p>
          <w:p w:rsidR="008B1B4E" w:rsidRPr="009B29EA" w:rsidRDefault="008B1B4E" w:rsidP="009B29EA">
            <w:pPr>
              <w:spacing w:line="240" w:lineRule="exact"/>
              <w:rPr>
                <w:rFonts w:ascii="宋体" w:cs="Times New Roman"/>
                <w:color w:val="000000"/>
                <w:kern w:val="0"/>
                <w:sz w:val="22"/>
              </w:rPr>
            </w:pPr>
          </w:p>
          <w:p w:rsidR="008B1B4E" w:rsidRPr="009B29EA" w:rsidRDefault="008B1B4E" w:rsidP="009B29EA">
            <w:pPr>
              <w:spacing w:line="240" w:lineRule="exact"/>
              <w:rPr>
                <w:rFonts w:ascii="黑体" w:eastAsia="黑体" w:hAnsi="宋体" w:cs="Times New Roman"/>
              </w:rPr>
            </w:pPr>
            <w:r w:rsidRPr="009B29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 w:rsidRPr="009B2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不同意，</w:t>
            </w:r>
            <w:r w:rsidRPr="009B29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B2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只用于内部交流</w:t>
            </w:r>
            <w:r w:rsidRPr="009B29EA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9B29E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（划勾即可）</w:t>
            </w:r>
          </w:p>
        </w:tc>
      </w:tr>
    </w:tbl>
    <w:p w:rsidR="008B1B4E" w:rsidRPr="009B29EA" w:rsidRDefault="008B1B4E" w:rsidP="009B29EA">
      <w:pPr>
        <w:ind w:right="420"/>
        <w:jc w:val="left"/>
        <w:rPr>
          <w:rFonts w:cs="Times New Roman"/>
        </w:rPr>
      </w:pPr>
    </w:p>
    <w:sectPr w:rsidR="008B1B4E" w:rsidRPr="009B29EA" w:rsidSect="0061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6F5" w:rsidRDefault="00B366F5" w:rsidP="002376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66F5" w:rsidRDefault="00B366F5" w:rsidP="002376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4E" w:rsidRDefault="00052E4E">
    <w:pPr>
      <w:pStyle w:val="a4"/>
      <w:jc w:val="center"/>
      <w:rPr>
        <w:rFonts w:cs="Times New Roman"/>
      </w:rPr>
    </w:pPr>
    <w:fldSimple w:instr="PAGE   \* MERGEFORMAT">
      <w:r w:rsidR="006161D4" w:rsidRPr="006161D4">
        <w:rPr>
          <w:noProof/>
          <w:lang w:val="zh-CN"/>
        </w:rPr>
        <w:t>4</w:t>
      </w:r>
    </w:fldSimple>
  </w:p>
  <w:p w:rsidR="008B1B4E" w:rsidRDefault="008B1B4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6F5" w:rsidRDefault="00B366F5" w:rsidP="002376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66F5" w:rsidRDefault="00B366F5" w:rsidP="002376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65A"/>
    <w:rsid w:val="00052E4E"/>
    <w:rsid w:val="000B69E0"/>
    <w:rsid w:val="000C3827"/>
    <w:rsid w:val="000D594E"/>
    <w:rsid w:val="000F45CE"/>
    <w:rsid w:val="000F5886"/>
    <w:rsid w:val="0011695F"/>
    <w:rsid w:val="0012033D"/>
    <w:rsid w:val="00174522"/>
    <w:rsid w:val="0017737A"/>
    <w:rsid w:val="00183B5B"/>
    <w:rsid w:val="001C4BE2"/>
    <w:rsid w:val="00201762"/>
    <w:rsid w:val="002074B4"/>
    <w:rsid w:val="00207669"/>
    <w:rsid w:val="00210D11"/>
    <w:rsid w:val="00213D8D"/>
    <w:rsid w:val="0022409C"/>
    <w:rsid w:val="0023755E"/>
    <w:rsid w:val="0023765A"/>
    <w:rsid w:val="00264094"/>
    <w:rsid w:val="002B72DE"/>
    <w:rsid w:val="002E5EC7"/>
    <w:rsid w:val="00332AAC"/>
    <w:rsid w:val="00351F4B"/>
    <w:rsid w:val="0039298A"/>
    <w:rsid w:val="003A5AF3"/>
    <w:rsid w:val="00400AD4"/>
    <w:rsid w:val="00405CEC"/>
    <w:rsid w:val="00413D2C"/>
    <w:rsid w:val="00433F6B"/>
    <w:rsid w:val="00434B94"/>
    <w:rsid w:val="00477273"/>
    <w:rsid w:val="004C26A6"/>
    <w:rsid w:val="004C5605"/>
    <w:rsid w:val="004C70ED"/>
    <w:rsid w:val="004E3639"/>
    <w:rsid w:val="00556428"/>
    <w:rsid w:val="00556E01"/>
    <w:rsid w:val="005742D6"/>
    <w:rsid w:val="00581944"/>
    <w:rsid w:val="00587F4C"/>
    <w:rsid w:val="005977CA"/>
    <w:rsid w:val="005C52DC"/>
    <w:rsid w:val="006161D4"/>
    <w:rsid w:val="0063094E"/>
    <w:rsid w:val="00662467"/>
    <w:rsid w:val="006755A6"/>
    <w:rsid w:val="006A1BB0"/>
    <w:rsid w:val="006A340D"/>
    <w:rsid w:val="006A44A3"/>
    <w:rsid w:val="006A6A39"/>
    <w:rsid w:val="006E795A"/>
    <w:rsid w:val="00700038"/>
    <w:rsid w:val="007005D3"/>
    <w:rsid w:val="00715399"/>
    <w:rsid w:val="00754099"/>
    <w:rsid w:val="00785F58"/>
    <w:rsid w:val="007A7A16"/>
    <w:rsid w:val="007C0D46"/>
    <w:rsid w:val="007D1C98"/>
    <w:rsid w:val="007E79C7"/>
    <w:rsid w:val="00810975"/>
    <w:rsid w:val="0086275D"/>
    <w:rsid w:val="008825D9"/>
    <w:rsid w:val="008B1B4E"/>
    <w:rsid w:val="00914F28"/>
    <w:rsid w:val="009202AA"/>
    <w:rsid w:val="00932EEA"/>
    <w:rsid w:val="009357DE"/>
    <w:rsid w:val="00985DB4"/>
    <w:rsid w:val="009B29EA"/>
    <w:rsid w:val="009B790F"/>
    <w:rsid w:val="009C0BB7"/>
    <w:rsid w:val="009D5F74"/>
    <w:rsid w:val="00A03EBC"/>
    <w:rsid w:val="00A1002F"/>
    <w:rsid w:val="00A35410"/>
    <w:rsid w:val="00A64493"/>
    <w:rsid w:val="00A67761"/>
    <w:rsid w:val="00A71D7A"/>
    <w:rsid w:val="00A91D57"/>
    <w:rsid w:val="00AB7CD1"/>
    <w:rsid w:val="00AC4496"/>
    <w:rsid w:val="00B26E68"/>
    <w:rsid w:val="00B366F5"/>
    <w:rsid w:val="00B41D21"/>
    <w:rsid w:val="00B82478"/>
    <w:rsid w:val="00BE70B2"/>
    <w:rsid w:val="00C072C1"/>
    <w:rsid w:val="00C17C55"/>
    <w:rsid w:val="00C54A88"/>
    <w:rsid w:val="00C65ACD"/>
    <w:rsid w:val="00D03FD3"/>
    <w:rsid w:val="00D10384"/>
    <w:rsid w:val="00D1529C"/>
    <w:rsid w:val="00D24EB7"/>
    <w:rsid w:val="00D32743"/>
    <w:rsid w:val="00D70F0B"/>
    <w:rsid w:val="00D86A76"/>
    <w:rsid w:val="00D87C83"/>
    <w:rsid w:val="00DD797D"/>
    <w:rsid w:val="00E619E4"/>
    <w:rsid w:val="00E82127"/>
    <w:rsid w:val="00E8716B"/>
    <w:rsid w:val="00E92CD9"/>
    <w:rsid w:val="00EC05BF"/>
    <w:rsid w:val="00EF0DE1"/>
    <w:rsid w:val="00EF31EA"/>
    <w:rsid w:val="00F74DCA"/>
    <w:rsid w:val="00F86C70"/>
    <w:rsid w:val="00FA218F"/>
    <w:rsid w:val="00FA54D5"/>
    <w:rsid w:val="00FC503B"/>
    <w:rsid w:val="00FD2582"/>
    <w:rsid w:val="00FD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3765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376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3765A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23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3765A"/>
    <w:rPr>
      <w:sz w:val="18"/>
      <w:szCs w:val="18"/>
    </w:rPr>
  </w:style>
  <w:style w:type="paragraph" w:styleId="a4">
    <w:name w:val="footer"/>
    <w:basedOn w:val="a"/>
    <w:link w:val="Char0"/>
    <w:uiPriority w:val="99"/>
    <w:rsid w:val="0023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3765A"/>
    <w:rPr>
      <w:sz w:val="18"/>
      <w:szCs w:val="18"/>
    </w:rPr>
  </w:style>
  <w:style w:type="paragraph" w:styleId="TOC">
    <w:name w:val="TOC Heading"/>
    <w:basedOn w:val="1"/>
    <w:next w:val="a"/>
    <w:uiPriority w:val="99"/>
    <w:qFormat/>
    <w:rsid w:val="002074B4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99"/>
    <w:semiHidden/>
    <w:rsid w:val="002074B4"/>
  </w:style>
  <w:style w:type="character" w:styleId="a5">
    <w:name w:val="Hyperlink"/>
    <w:basedOn w:val="a0"/>
    <w:uiPriority w:val="99"/>
    <w:rsid w:val="002074B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2074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2074B4"/>
    <w:rPr>
      <w:rFonts w:ascii="Calibri" w:eastAsia="宋体" w:hAnsi="Calibri" w:cs="Calibri"/>
      <w:sz w:val="18"/>
      <w:szCs w:val="18"/>
    </w:rPr>
  </w:style>
  <w:style w:type="paragraph" w:styleId="a7">
    <w:name w:val="Document Map"/>
    <w:basedOn w:val="a"/>
    <w:link w:val="Char2"/>
    <w:uiPriority w:val="99"/>
    <w:semiHidden/>
    <w:rsid w:val="009357DE"/>
    <w:rPr>
      <w:rFonts w:ascii="宋体" w:cs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locked/>
    <w:rsid w:val="009357DE"/>
    <w:rPr>
      <w:rFonts w:ascii="宋体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ji.chinajournal.net.cn/WKB2/WebPublication/index.aspx?mid=JSJ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414</Words>
  <Characters>2361</Characters>
  <Application>Microsoft Office Word</Application>
  <DocSecurity>0</DocSecurity>
  <Lines>19</Lines>
  <Paragraphs>5</Paragraphs>
  <ScaleCrop>false</ScaleCrop>
  <Company>www.ftpdown.com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第四届运输与时空论坛</dc:title>
  <dc:subject/>
  <dc:creator>Jeremiah</dc:creator>
  <cp:keywords/>
  <dc:description/>
  <cp:lastModifiedBy>Jeremiah</cp:lastModifiedBy>
  <cp:revision>6</cp:revision>
  <cp:lastPrinted>2016-07-04T17:56:00Z</cp:lastPrinted>
  <dcterms:created xsi:type="dcterms:W3CDTF">2016-07-11T01:36:00Z</dcterms:created>
  <dcterms:modified xsi:type="dcterms:W3CDTF">2016-07-11T12:33:00Z</dcterms:modified>
</cp:coreProperties>
</file>